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2006/233 vom 16. Mai 2007</w:t>
      </w:r>
    </w:p>
    <w:p>
      <w:r>
        <w:t>Sg Versicherungsgericht, 2007-05-16, DE</w:t>
      </w:r>
    </w:p>
    <w:p>
      <w:r>
        <w:rPr>
          <w:b/>
        </w:rPr>
        <w:t xml:space="preserve">Quelle: </w:t>
      </w:r>
      <w:r>
        <w:t>https://mcp.opencaselaw.ch/entscheid/sg_publikationen_IV 2006_233</w:t>
      </w:r>
    </w:p>
    <w:p>
      <w:r>
        <w:t>FR: SG_VERSICHERUNGSGERICHT IV 2006/233 du 16 mai 2007</w:t>
      </w:r>
    </w:p>
    <w:p>
      <w:r>
        <w:t>IT: SG_VERSICHERUNGSGERICHT IV 2006/233 del 16 maggio 2007</w:t>
      </w:r>
    </w:p>
    <w:p>
      <w:pPr>
        <w:pStyle w:val="Heading2"/>
      </w:pPr>
      <w:r>
        <w:t>Regeste</w:t>
      </w:r>
    </w:p>
    <w:p>
      <w:r>
        <w:t>Art. 28 IVG: Rentenbemessung (Entscheid des Versicherungsgerichts des Kantons St. Gallen vom 16. Mai 2007, IV 2006/233). Aufgehoben durch Urteil des Bundesgerichts 8C_394/2007.</w:t>
      </w:r>
    </w:p>
    <w:p>
      <w:pPr>
        <w:pStyle w:val="Heading2"/>
      </w:pPr>
      <w:r>
        <w:t>Erwägungen</w:t>
      </w:r>
    </w:p>
    <w:p>
      <w:r>
        <w:rPr>
          <w:b/>
        </w:rPr>
        <w:t>E. 1</w:t>
      </w:r>
    </w:p>
    <w:p>
      <w:r>
        <w:t>a) Nach Art. 28 Abs. 1 IVG in der ab 1. Januar 2004 gültigen Fassung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b) Die Invaliditätsbemessung soll das Mass der Zurücksetzung der erwerblichen Leistungsfähigkeit infolge gesundheitlicher Beeinträchtigung ergeben. Um den Invaliditätsgrad bemessen zu können, sind daher zunächst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Erw. 4; ZAK 1982 S. 34; Rz 3047 f des vom Bundesamt für Sozialversicherung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 c) Im Sozialversicherungsrecht gilt der Untersuchungsgrundsatz. Verwaltung und Sozialversicherungsgericht haben von sich aus für die richtige und vollständige Abklärung des rechtserheblichen Sachverhaltes zu sorgen. Dieser Grundsatz gilt indessen nicht uneingeschränkt; er findet sein Korrelat in den Mitwirkungspflichten der Parteien (BGE 122 V 158 Erw. 1a, 121 V 210 Erw. 6c, je mit Hinweisen). Rechtserheblich sind alle Tatsachen, von deren Vorliegen es abhängt, ob über den streitigen Anspruch so oder anders zu entscheiden ist. In diesem Rahmen haben Verwaltungsbehörden und Sozialversicherungsrichter zusätzliche Abklärungen stets dann vorzunehmen oder zu veranlassen, wenn hiezu aufgrund der Parteivorbringen oder anderer sich aus den Akten ergebenden Anhaltspunkte hinreichender Anlass besteht (z.B. BGE 117 V 282 Erw. 4a). In beweisrechtlicher Hinsicht gilt der Grundsatz der freien Beweiswürdigung (Art. 61 lit. c ATSG). Danach haben die urteilenden Instanzen die Beweise frei, das heisst ohne Bindung an förmliche Beweisregeln sowie umfassend und pflichtgemäss zu würdigen und alle Beweismittel unabhängig davon, von wem sie stammen, objektiv zu prüfen und danach zu entscheiden, ob die verfügbaren Unterlagen eine zuverlässige Beuteilung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 d)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2</w:t>
      </w:r>
    </w:p>
    <w:p>
      <w:r>
        <w:t>Das Beschwerdeverfahren gegen den Einsprache-Entscheid der Suva vom 16. Dezember 2002 ist, nachdem das Verfahren bis zum Vorliegen des Gutachtens der Klinik O.___ sistiert worden war, vom Versicherungsgericht zwar am 21. März 2007 entschieden worden, allerdings ist es noch nicht in Rechtskraft erwachsen. Das Gericht hat im unfallversicherungsrechtlichen Verfahren die Frage des Kausalzusammenhangs zwischen der psychischen Symptomatik und dem Unfallereignis und somit die erwerblichen Auswirkungen dieser Gesundheitsschädigung nicht beurteilt, weil diese erst nach Erlass des Einsprache-Entscheids und damit ausserhalb des relevanten Prüfungszeitraums festgestellt worden war (UV 2003/14). Da von Seiten der Suva somit noch kein definitiver Entscheid betreffend einer Rente vorliegt, ist der Rentenanspruch des Beschwerdeführers vorliegend frei zu prüfen (vgl. BGE 131 V 120 mit Hinweisen).</w:t>
      </w:r>
    </w:p>
    <w:p>
      <w:r>
        <w:rPr>
          <w:b/>
        </w:rPr>
        <w:t>E. 3</w:t>
      </w:r>
    </w:p>
    <w:p>
      <w:r>
        <w:t>Vorliegend meldete sich der Versicherte am 20. Mai 2002 erneut zum Leistungsbezug an, nachdem das Versicherungsgericht des Kantons St. Gallen die gegen die am 30. Januar 1998 von der IV-Stelle verfügte Einstellung der Rentenleistung erhobene Beschwerde mit Entscheid vom 30. Mai 2000 (IV 1998/40) abgewiesen hatte. Die IV-Stelle ist auf diese Neuanmeldung nach Ablehnung eines Leistungsanspruchs im Sinn von Art. 87 Abs. 3 und 4 IVV eingetreten und hat materiell geprüft, ob sich der Gesundheitszustand des Versicherten seit der letzten, eine Invalidenrente verweigernden Verfügung verschlechtert hat. Damals war der Rentenanspruch vom Gericht verneint worden, weil Prof. F.___ in seinem Bericht vom 6. Juli 1997 für das Gericht überzeugend dargelegt hatte, dass der Beschwerdeführer die mehrheitlich einhändig auszuführende angestammte Tätigkeit als Lackierer wieder vollzeitlich und ohne Leistungseinschränkung ausführen könne und in einer anderen der Behinderung angepassten Tätigkeit (eingeschränkte Arbeitsleistungsfähigkeit und Geschicklichkeit und eingeschränkter Krafteinsatz) unter medizinischem Gesichtspunkt eine volle Leistung zu erwarten sei. Da keine Hinweise auf eine relevante psychische Komponente auszumachen waren, erübrigten sich damals zusätzliche Abklärungen zu diesem Punkt. Nachdem aus dem Einkommensvergleich auch bei einem leidensbedingten Abzug von 20% vom statistischen Invalideneinkommen nur ein IV-Grad von 24% resultierte und die invaliditätsbedingte Erwerbseinbusse damit unter der rentenbegründenden Grenze von 40% lag, bestand kein Rentenanspruch mehr (vgl. IV 1998/40).</w:t>
      </w:r>
    </w:p>
    <w:p>
      <w:r>
        <w:rPr>
          <w:b/>
        </w:rPr>
        <w:t>E. 4</w:t>
      </w:r>
    </w:p>
    <w:p>
      <w:r>
        <w:t>a) Im angefochtenen Einsprache-Entscheid vom 9. Oktober 2006 geht die Beschwerdegegnerin aufgrund der Beurteilung im Gutachten der Klinik O.___ vom 27. Februar 2006 weiterhin von der Zumutbarkeit einer ganztätigen dem Leiden angepassten Tätigkeit aus. Den vorhandenen deutlichen Einschränkungen bei manuellen Tätigkeiten trägt sie wiederum mit einem Abzug von 20% vom statistischen Tabellenlohn Rechnung. Die Beschwerdegegnerin macht dazu geltend, gemäss dem Gutachten der Klinik O.___ sei der Beschwerdeführer in einer nicht adaptierten Tätigkeit aus psychiatrischer Sicht zu 30% arbeitsunfähig. In einer körperlich angepassten Tätigkeit werde aber auch aus psychiatrischer Sicht eine volle Arbeitsfähigkeit attestiert. Entgegen der fachärztlichen Beurteilung der Fachärzte der Klinik N.___ ergebe sich aus dem Gutachten der Klinik O.___, dass die notwendige Aufprägung für die von der Klinik N.___ diagnostizierte somatoforme Schmerzstörung nicht gegeben sei und das Vorliegen einer Persönlichkeitsstörung von der Gutachtern der Klinik O.___ nicht bestätigt werden könne. Da vorliegend nicht die Bezeichnung eines Leidens, sondern dessen Auswirkungen auf die Leistungsfähigkeit massgebend seien, spiele es keine Rolle, dass sich die Gutachter der Klinik O.___ nicht zur von den Fachärzten der Klinik N.___ gestellten Differenzialdiagnose geäussert habe. Weil Hausärzte einerseits keine psychiatrischen Fachärzte seien und anderseits eher zu Gunsten ihrer Patienten aussagen, sei der vom Beschwerdeführer erwähnte Arztbericht vom 13. Mai 2006 von Dr. H.___, wo eine Verschlechterung des psychischen Gesundheitszustandes des Beschwerdeführers festgestellt worden sein soll, nicht zu berücksichtigen. b) Das Gutachten der Klinik O.___ setzt sich aus dem handchirurgischen Bericht des Dr. med. Q.___, Leitender Arzt, FMH Plastische und Wiederherstellungschirurgie, spez. Handchirurgie und aus der psychiatrischen Expertise des Dr. med. P.___, Leitender Arzt, FMH Psychiatrie und Psychotherapie, zusammen. Es wird ausgeführt, auf körperlicher Ebene bedinge die Versteifung des Endglieds des Ringfingers der linken Hand einen inkompletten Faustschluss. Lediglich der linke Daumen zeige eine praktisch seitengleiche Beweglichkeit und sei weitgehend schmerzfrei einsetzbar. Die vom Beschwerdeführer angegebenen starken Schmerzen auch bei Ruhe beizeichnen die Gutachter in ihrer Intensität medizinisch als nicht erklärbar. Auch die geklagten Sensibilitätsstörungen seien klinisch nicht genügend fass- und nachvollziehbar. Das Vorliegen einer somatoformen Schmerzstörung oder einer Persönlichkeitsstörung, wie sie von der Klinik N.___ diagnostiziert worden seien, habe sich bei der psychiatrischen Untersuchung nicht bestätigen lassen. Im psychiatrischen Teilgutachten wird dann aber angemerkt, die dysphorische Gespanntheit müsse mindestens teilweise als krankheitswertig betrachtet werden, und es sei zu berücksichtigen, dass die Affektkontrolle des Versicherten an einem Arbeitsplatz schnell überfordert sein könnte, was eine zusätzlich Einschränkung hinsichtlich des Spektrums an möglichen Arbeitsstellen zur Folge habe und je nach der Angepasstheit der Tätigkeit an die interpersonellen Kriterien, grob geschätzt, zu einer Einschränkung von 30% führe. Bei der zusammenfassenden Beurteilung der zumutbaren Arbeitsfähigkeit des Beschwerdeführers findet dieser Aspekt der psychiatrischen Beurteilung indessen keinen Niederschlag. Zwar wird die frühere Arbeit als Lackierer als unzumutbar bezeichnet und auch die Notwendigkeit mehrerer Pausen bei einarmiger Tätigkeit bestätigt, es wird aber im Gegensatz zum psychiatrischen Teilgutachten nicht mehr von einer Einschränkung aus psychischen Gründen in einer angepassten Tätigkeit gesprochen. Nachdem auch die Fachärzte der Klinik N.___ von Einschränkungen in der Leistungsfähigkeit zufolge der psychischen Situation ausgehen, kann nicht einfach von einer uneingeschränkten Arbeitsfähigkeit in dem körperlichen Leiden angepassten Tätigkeiten ausgegangen werden. c) Den vorhandenen medizinischen Berichten (vgl. auch Dr. I.___ vom 19. März 2004, IV act. 136) ist sodann zu entnehmen, dass der Beschwerdeführer an starken Schmerzen in der linken Hand leidet, die, auch wenn sie in der Intensität medizinisch nicht gänzlich nachvollziehbar sind, als neuropathische Schmerzen nach mehreren Operationen gemäss übereinstimmenden ärztlichen Beurteilungen vorliegend nicht vollständig unbeachtet bleiben können. Auch aufgrund dieser Tatsache attestierten die Fachärzte der Klinik N.___ im psychiatrischen Gutachten allein aus psychiatrischer Sicht eine Arbeitsunfähigkeit von 50% mit zusätzlicher Leistungseinschränkung von 20%. Auch wenn diese Schätzung gemäss Auskunft der Gutachter nicht den angegebenen Wert erreicht, lässt sich anhand der Beurteilung von Dr. P.___ (Einschränkung im Bereich von 30%) nicht mit genügender Bestimmtheit festhalten, dass der psychische Zustand des Beschwerdeführers nach über zehn Jahren anerkanntermassen eingeschränkter manueller Fähigkeit tatsächlich zu keiner massgeblichen Leistungseinschränkung führt. Selbst wenn die nach Ansicht der Klinik N.___ bestehenden Krankheitsbilder (somatoforme Schmerzstörung und Persönlichkeitsstörung) nicht oder nicht gänzlich zu bestätigen wären, erscheint es aufgrund der somatischen Beurteilung im Gutachten der Klinik O.___ unerlässlich, auch die von den Gutachtern bei (uneingeschränkt) zumutbaren einarmigen Tätigkeiten als notwendig erachteten zusätzlichen Pausen in die Leistungsbeurteilung einzubeziehen. Aus dieser Sicht erscheint die von Dr. P.___ vorgenommene Einschätzung der Arbeitsunfähigkeit von 30% für das Gericht in Würdigung der Verhältnisse als pausibel, und es kann darauf abgestellt werden. Nach der Aktenlage kann diese Einschränkung zwangslos ungefähr auf den Zeitpunkt der Wiederanmeldung zurückbezogen werden. Jedenfalls kann seine Beurteilung auch mit Blick auf die Bezeichnung zumutbarer Verweisungstätigkeiten nicht einfach unbeachtet bleiben.</w:t>
      </w:r>
    </w:p>
    <w:p>
      <w:r>
        <w:rPr>
          <w:b/>
        </w:rPr>
        <w:t>E. 5</w:t>
      </w:r>
    </w:p>
    <w:p>
      <w:r>
        <w:t>a) Zu prüfen bleiben die erwerblichen Auswirkungen in einer behinderungsangepassten Erwerbstätigkeit. Für den Einkommensvergleich sind die Verhältnisse im Zeitpunkt des Beginns des Rentenanspruchs massgebend. Das dürfte das Jahr 2002 sein. Wo Validen- und Invalideneinkommen im Zeitablauf ungefähr von der gleichen Lohnentwicklung betroffen sind, könnte an sich auch auf Löhne späterer Jahre abgestellt werden. Da der Beschwerdeführer keine zumutbare Verweisungstätigkeit aufgenommen hat, ist die Bestimmung des Invalideneinkommens aufgrund der Tabellenlöhne der Schweizerischen Lohnstrukturerhebung (LSE) 2002 vorzunehmen. Damals lag der standardisierte monatliche Bruttolohn für Männer für einfache und repetitive Tätigkeiten (Anforderungsprofil 4) und einer wöchentlichen Arbeitszeit von 40 Stunden bei Fr. 4'557.--. Unter Berücksichtigung der durchschnittlichen Arbeitszeit im Jahr 2002 von 41,7 Stunden ergibt sich ein hypothetisches Jahreseinkommen im Jahr 2002 von Fr. 57'008.--. Da der Beschwerdeführer nur noch zu 70% leistungsfähig ist, beträgt das Invalideneinkommen Fr. 39'905.--. Ein Abzug vom Tabellenlohn kann unter dem Titel der leidensbedingten Einschränkungen in Betracht gezogen werden (BGE 129 V 481 Erw. 4.2.3 mit Hinweisen). Der Beschwerdeführer kann wegen der Einschränkungen an der linken Hand nur noch leichte Hilfstätigkeiten ausführen und ist bei manuellen Tätigkeiten deutlich eingeschränkt. Es rechtfertigt sich daher, mit der Beschwerdegegnerin den Abzug auf insgesamt 20% festzusetzen. Dies führt zu einem Invalideneinkommen von Fr. 31'924.--. b) Wenn eine versicherte Person vor Eintritt des Gesundheitsschadens ein geringeres Einkommen erzielte, als im betreffenden Wirtschaftszweig üblich war, sind gemäss der in ZAK 1989 S. 456 begründeten Rechtsprechung im Rahmen des Einkommensvergleichs nach Art. 28 Abs. 2 IVG die invaliditätsfremden Gesichtspunkte überhaupt nicht oder dann bei beiden Vergleichsgrössen gleichmässig durch angemessene Korrektur des Validen- oder des Invalideneinkommens zu berücksichtigen. Nachdem das Valideneinkommen im Jahr 2000 gemäss den Angaben der früheren Arbeitgeberin nur Fr. 49'400.-- bzw. Fr. 50'050.-- im Jahr 2002 betragen hat (vgl. den Entscheid des Versicherungsgerichts vom 21. März 2007 betreffend der unfallversicherungsrechtlichen Ansprüche des Beschwerdeführers, Erw. 5a, UV 2003/14) und damit unterdurchschnittlich war, kann das bei 100%iger Tätigkeit erzielbare Invalideneinkommen von Fr. 57'008.-- vorliegend auch als Valideneinkommen gelten. c) Der Vergleich von Validen- und Invalideneinkommen ergibt eine Erwerbseinbusse von Fr. 25'084.-- bzw. einen Invaliditätsgrad von 44%. Der Beschwerdeführer hat somit Anspruch auf eine entsprechende Invalidenrente. Den Rentenbeginn im Sinn von Art. 29 IVG und die Rentenhöhe wird die Beschwerdegegnerin noch zu bestimmen haben.</w:t>
      </w:r>
    </w:p>
    <w:p>
      <w:r>
        <w:rPr>
          <w:b/>
        </w:rPr>
        <w:t>E. 6</w:t>
      </w:r>
    </w:p>
    <w:p>
      <w:r>
        <w:t>a) Im Sinn der vorstehenden Erwägungen ist die Beschwerde unter Aufhebung des Einsprache-Entscheids vom 9. Oktober 2006 teilweise gutzuheissen und dem Beschwerdeführer ist eine Invalidenrente auf der Basis eines Invaliditätsgrades von 44% zuzusprechen. b) Da vorliegend die Einsprache zur Zeit des Inkrafttretens der Änderung von Art. 69 IVG am 1. Juli 2006 noch bei der IV-Stelle hängig war, ist gemäss Ziffer b der Übergangsbestimmung zur Änderung vom 16. Dezember 2005 das bisherige Recht anwendbar, nach welchem gemäss Art. 61 lit. a ATSG keine Gerichtskosten zu erheben sind. c) Bei diesem Ausgang des Verfahrens hat der Beschwerdeführer Anspruch auf den Ersatz der Parteikosten, womit das Gesuch um unentgeltliche Prozessführung gegenstandslos wird. Die Entschädigung bemisst sich nach der Bedeutung der Streitsache und nach der Schwierigkeit des Prozesses (Art. 61 lit. g ATSG). Unter Berücksichtigung dieser Kriterien ist eine Entschädigung von Fr. 3'000.-- (inklusive Barauslagen und Mehrwertsteuer) im vorliegenden Fall als angemessen zu betrachten. Demgemäss hat das Versicherungsgericht entschieden: 1. In teilweiser Gutheissung der Beschwerde wird der Einsprache-Entscheid vom 9. Oktober 2006 aufgehoben und dem Beschwerdeführer im Sinn der Erwägungen eine Rente der Invalidenversicherung auf der Basis eines Invaliditätsgrades von 44% zugesprochen. 2. Die Streitsache wird zur Festsetzung von Rentenbeginn und Rentenhöhe an die Beschwerdegegnerin zurückgewiesen. 3. Es werden keine Gerichtskosten erhoben. 4.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